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D2D2D"/>
          <w:spacing w:val="0"/>
          <w:kern w:val="0"/>
          <w:sz w:val="32"/>
          <w:szCs w:val="32"/>
          <w:shd w:val="clear" w:fill="FFFFFF"/>
          <w:lang w:val="en-US" w:eastAsia="zh-CN" w:bidi="ar"/>
        </w:rPr>
        <w:t>附件 ： </w:t>
      </w:r>
      <w:r>
        <w:rPr>
          <w:rStyle w:val="3"/>
          <w:rFonts w:hint="eastAsia" w:ascii="仿宋" w:hAnsi="仿宋" w:eastAsia="仿宋" w:cs="仿宋"/>
          <w:i w:val="0"/>
          <w:caps w:val="0"/>
          <w:color w:val="2D2D2D"/>
          <w:spacing w:val="0"/>
          <w:kern w:val="0"/>
          <w:sz w:val="32"/>
          <w:szCs w:val="32"/>
          <w:shd w:val="clear" w:fill="FFFFFF"/>
          <w:lang w:val="en-US" w:eastAsia="zh-CN" w:bidi="ar"/>
        </w:rPr>
        <w:t>第二批河南省协同创新中心验收结果</w:t>
      </w:r>
    </w:p>
    <w:tbl>
      <w:tblPr>
        <w:tblStyle w:val="4"/>
        <w:tblW w:w="10520" w:type="dxa"/>
        <w:jc w:val="center"/>
        <w:tblInd w:w="-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6"/>
        <w:gridCol w:w="2604"/>
        <w:gridCol w:w="122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中心名称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牵头高校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评价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中原经济区煤层（页岩）气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河南理工大学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呼吸疾病诊疗与新药研发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河南中医药大学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有色金属共性技术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河南科技大学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精细化学品绿色制造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河南师范大学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中原经济区水资源高效利用与保障工程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华北水利水电大学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现代畜牧业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河南农业大学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新型城镇建筑技术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郑州大学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优秀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分子诊断与医学检验技术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新乡医学院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航空经济发展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郑州航空管理工业学院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环境污染治理与生态修复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郑州轻工业学院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良好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持续支持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42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新型城镇化与中原经济区建设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河南大学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限期整改（一年）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31F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2018-06-20T11:22:57Z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